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4F" w:rsidRPr="009C714F" w:rsidRDefault="009C714F" w:rsidP="009C714F">
      <w:pPr>
        <w:spacing w:line="276" w:lineRule="auto"/>
        <w:rPr>
          <w:rFonts w:ascii="Nirmala UI" w:hAnsi="Nirmala UI" w:cs="Nirmala UI"/>
          <w:b/>
          <w:sz w:val="24"/>
          <w:szCs w:val="24"/>
        </w:rPr>
      </w:pPr>
      <w:r w:rsidRPr="00FA1A69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632DF" wp14:editId="154A55E7">
                <wp:simplePos x="0" y="0"/>
                <wp:positionH relativeFrom="column">
                  <wp:posOffset>19050</wp:posOffset>
                </wp:positionH>
                <wp:positionV relativeFrom="paragraph">
                  <wp:posOffset>127371</wp:posOffset>
                </wp:positionV>
                <wp:extent cx="5867400" cy="4857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F" w:rsidRPr="007D5688" w:rsidRDefault="009C714F" w:rsidP="009C714F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 w:rsidRPr="007D5688">
                              <w:rPr>
                                <w:rFonts w:ascii="Nirmala UI" w:hAnsi="Nirmala UI" w:cs="Nirmala UI"/>
                                <w:b/>
                              </w:rPr>
                              <w:t>BORANG KEBENARAN MEMANGKU SECARA SEMENTARA</w:t>
                            </w:r>
                          </w:p>
                          <w:p w:rsidR="009C714F" w:rsidRPr="007D5688" w:rsidRDefault="009C714F" w:rsidP="009C714F">
                            <w:pPr>
                              <w:jc w:val="center"/>
                            </w:pPr>
                            <w:r w:rsidRPr="007D5688">
                              <w:rPr>
                                <w:rFonts w:ascii="Nirmala UI" w:hAnsi="Nirmala UI" w:cs="Nirmala UI"/>
                                <w:b/>
                              </w:rPr>
                              <w:t>(3 BULAN DAN SETERUSNYA 3 BULAN)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632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5pt;margin-top:10.05pt;width:4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" stroked="f">
                <v:textbox>
                  <w:txbxContent>
                    <w:p w:rsidR="009C714F" w:rsidRPr="007D5688" w:rsidRDefault="009C714F" w:rsidP="009C714F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 w:rsidRPr="007D5688">
                        <w:rPr>
                          <w:rFonts w:ascii="Nirmala UI" w:hAnsi="Nirmala UI" w:cs="Nirmala UI"/>
                          <w:b/>
                        </w:rPr>
                        <w:t>BORANG KEBENARAN MEMANGKU SECARA SEMENTARA</w:t>
                      </w:r>
                    </w:p>
                    <w:p w:rsidR="009C714F" w:rsidRPr="007D5688" w:rsidRDefault="009C714F" w:rsidP="009C714F">
                      <w:pPr>
                        <w:jc w:val="center"/>
                      </w:pPr>
                      <w:r w:rsidRPr="007D5688">
                        <w:rPr>
                          <w:rFonts w:ascii="Nirmala UI" w:hAnsi="Nirmala UI" w:cs="Nirmala UI"/>
                          <w:b/>
                        </w:rPr>
                        <w:t>(3 BULAN DAN SETERUSNYA 3 BULAN)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7ECBE" wp14:editId="7632124E">
                <wp:simplePos x="0" y="0"/>
                <wp:positionH relativeFrom="column">
                  <wp:posOffset>5189941</wp:posOffset>
                </wp:positionH>
                <wp:positionV relativeFrom="paragraph">
                  <wp:posOffset>-620388</wp:posOffset>
                </wp:positionV>
                <wp:extent cx="914400" cy="312420"/>
                <wp:effectExtent l="0" t="0" r="2349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14F" w:rsidRPr="00CC76E1" w:rsidRDefault="009C714F" w:rsidP="009C714F">
                            <w:pPr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Borang</w:t>
                            </w:r>
                            <w:proofErr w:type="spellEnd"/>
                            <w:r w:rsidRPr="00CC76E1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-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ECBE" id="Text Box 11" o:spid="_x0000_s1027" type="#_x0000_t202" style="position:absolute;margin-left:408.65pt;margin-top:-48.85pt;width:1in;height:24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" fillcolor="#aeaaaa [2414]" strokeweight=".5pt">
                <v:textbox>
                  <w:txbxContent>
                    <w:p w:rsidR="009C714F" w:rsidRPr="00CC76E1" w:rsidRDefault="009C714F" w:rsidP="009C714F">
                      <w:pPr>
                        <w:rPr>
                          <w:rFonts w:ascii="Nirmala UI" w:hAnsi="Nirmala UI" w:cs="Nirmala UI"/>
                          <w:b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b/>
                        </w:rPr>
                        <w:t>Borang</w:t>
                      </w:r>
                      <w:proofErr w:type="spellEnd"/>
                      <w:r w:rsidRPr="00CC76E1">
                        <w:rPr>
                          <w:rFonts w:ascii="Nirmala UI" w:hAnsi="Nirmala UI" w:cs="Nirmala UI"/>
                          <w:b/>
                        </w:rPr>
                        <w:t xml:space="preserve"> - KM</w:t>
                      </w:r>
                    </w:p>
                  </w:txbxContent>
                </v:textbox>
              </v:shape>
            </w:pict>
          </mc:Fallback>
        </mc:AlternateContent>
      </w:r>
      <w:r w:rsidRPr="00FA1A69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79F54001" wp14:editId="50A5685D">
            <wp:simplePos x="0" y="0"/>
            <wp:positionH relativeFrom="column">
              <wp:posOffset>2668713</wp:posOffset>
            </wp:positionH>
            <wp:positionV relativeFrom="paragraph">
              <wp:posOffset>-586711</wp:posOffset>
            </wp:positionV>
            <wp:extent cx="733425" cy="685800"/>
            <wp:effectExtent l="0" t="0" r="9525" b="0"/>
            <wp:wrapNone/>
            <wp:docPr id="4" name="Picture 4" descr="http://1.bp.blogspot.com/-NgwDFQNDsAM/T_kkosUQUNI/AAAAAAAAASI/hXNZILYXKWg/s1600/simbol+Brunei+darusalam+x-kom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NgwDFQNDsAM/T_kkosUQUNI/AAAAAAAAASI/hXNZILYXKWg/s1600/simbol+Brunei+darusalam+x-komo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14F" w:rsidRDefault="009C714F" w:rsidP="009C714F">
      <w:pPr>
        <w:jc w:val="right"/>
        <w:rPr>
          <w:rFonts w:ascii="Tahoma" w:hAnsi="Tahoma" w:cs="Tahoma"/>
          <w:b/>
        </w:rPr>
      </w:pPr>
    </w:p>
    <w:p w:rsidR="009C714F" w:rsidRPr="007D5688" w:rsidRDefault="009C714F" w:rsidP="009C714F">
      <w:pPr>
        <w:pStyle w:val="ListParagraph"/>
        <w:spacing w:line="276" w:lineRule="auto"/>
        <w:ind w:left="0"/>
        <w:jc w:val="both"/>
        <w:rPr>
          <w:rFonts w:ascii="Nirmala UI" w:hAnsi="Nirmala UI" w:cs="Nirmala UI"/>
          <w:b/>
          <w:u w:val="single"/>
        </w:rPr>
      </w:pPr>
      <w:r w:rsidRPr="007D5688">
        <w:rPr>
          <w:rFonts w:ascii="Nirmala UI" w:hAnsi="Nirmala UI" w:cs="Nirmala UI"/>
          <w:b/>
          <w:u w:val="single"/>
        </w:rPr>
        <w:t>Nota:</w:t>
      </w:r>
    </w:p>
    <w:p w:rsidR="009C714F" w:rsidRPr="007D5688" w:rsidRDefault="009C714F" w:rsidP="009C714F">
      <w:pPr>
        <w:pStyle w:val="NoSpacing"/>
        <w:numPr>
          <w:ilvl w:val="0"/>
          <w:numId w:val="2"/>
        </w:numPr>
        <w:jc w:val="both"/>
        <w:rPr>
          <w:rFonts w:ascii="Nirmala UI" w:hAnsi="Nirmala UI" w:cs="Nirmala UI"/>
          <w:w w:val="110"/>
          <w:sz w:val="20"/>
        </w:rPr>
      </w:pPr>
      <w:proofErr w:type="spellStart"/>
      <w:r w:rsidRPr="007D5688">
        <w:rPr>
          <w:rFonts w:ascii="Nirmala UI" w:hAnsi="Nirmala UI" w:cs="Nirmala UI"/>
          <w:sz w:val="20"/>
        </w:rPr>
        <w:t>P</w:t>
      </w:r>
      <w:r w:rsidRPr="007D5688">
        <w:rPr>
          <w:rFonts w:ascii="Nirmala UI" w:hAnsi="Nirmala UI" w:cs="Nirmala UI"/>
          <w:w w:val="110"/>
          <w:sz w:val="20"/>
        </w:rPr>
        <w:t>egawai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yang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dilantik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memangku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Bahagian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I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bagi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tujuan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penetapan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jawatan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adalah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secara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tidak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disamping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tugas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iaitu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tidak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dikehendaki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menjalankan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tugas-tugas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biasanya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seperti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perenggan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4.2 Surat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Keliling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Jabatan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Perdana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Menteri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bilangan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4/2008.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Walau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bagaimanapun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,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jika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jawatan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Bahagian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I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diproses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untuk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pengiklanan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,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tertakluk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kepada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kebenaran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Setiausaha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Tetap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samada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secara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4.1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atau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4.2 Surat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Keliling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Jabatan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Perdana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Menteri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bilangan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4/2008. </w:t>
      </w:r>
    </w:p>
    <w:p w:rsidR="009C714F" w:rsidRPr="007D5688" w:rsidRDefault="009C714F" w:rsidP="009C714F">
      <w:pPr>
        <w:pStyle w:val="NoSpacing"/>
        <w:jc w:val="both"/>
        <w:rPr>
          <w:rFonts w:ascii="Nirmala UI" w:hAnsi="Nirmala UI" w:cs="Nirmala UI"/>
          <w:w w:val="110"/>
          <w:sz w:val="6"/>
        </w:rPr>
      </w:pPr>
    </w:p>
    <w:p w:rsidR="009C714F" w:rsidRPr="007D5688" w:rsidRDefault="009C714F" w:rsidP="009C714F">
      <w:pPr>
        <w:pStyle w:val="NoSpacing"/>
        <w:numPr>
          <w:ilvl w:val="0"/>
          <w:numId w:val="2"/>
        </w:numPr>
        <w:jc w:val="both"/>
        <w:rPr>
          <w:rFonts w:ascii="Nirmala UI" w:hAnsi="Nirmala UI" w:cs="Nirmala UI"/>
          <w:w w:val="110"/>
          <w:sz w:val="20"/>
        </w:rPr>
      </w:pPr>
      <w:proofErr w:type="spellStart"/>
      <w:r w:rsidRPr="007D5688">
        <w:rPr>
          <w:rFonts w:ascii="Nirmala UI" w:hAnsi="Nirmala UI" w:cs="Nirmala UI"/>
          <w:w w:val="110"/>
          <w:sz w:val="20"/>
        </w:rPr>
        <w:t>Borang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ini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hendaklah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disertakan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dengan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Borang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Pengesahan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Kekosongan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Jawatan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(</w:t>
      </w:r>
      <w:proofErr w:type="spellStart"/>
      <w:r w:rsidRPr="007D5688">
        <w:rPr>
          <w:rFonts w:ascii="Nirmala UI" w:hAnsi="Nirmala UI" w:cs="Nirmala UI"/>
          <w:w w:val="110"/>
          <w:sz w:val="20"/>
        </w:rPr>
        <w:t>Borang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A).</w:t>
      </w:r>
    </w:p>
    <w:p w:rsidR="009C714F" w:rsidRPr="007D5688" w:rsidRDefault="009C714F" w:rsidP="009C714F">
      <w:pPr>
        <w:pStyle w:val="NoSpacing"/>
        <w:jc w:val="both"/>
        <w:rPr>
          <w:rFonts w:ascii="Nirmala UI" w:hAnsi="Nirmala UI" w:cs="Nirmala UI"/>
          <w:w w:val="110"/>
          <w:sz w:val="6"/>
        </w:rPr>
      </w:pPr>
    </w:p>
    <w:p w:rsidR="009C714F" w:rsidRPr="007D5688" w:rsidRDefault="009C714F" w:rsidP="009C714F">
      <w:pPr>
        <w:pStyle w:val="NoSpacing"/>
        <w:numPr>
          <w:ilvl w:val="0"/>
          <w:numId w:val="2"/>
        </w:numPr>
        <w:jc w:val="both"/>
        <w:rPr>
          <w:rFonts w:ascii="Nirmala UI" w:hAnsi="Nirmala UI" w:cs="Nirmala UI"/>
          <w:w w:val="110"/>
          <w:sz w:val="20"/>
        </w:rPr>
      </w:pPr>
      <w:proofErr w:type="spellStart"/>
      <w:r w:rsidRPr="007D5688">
        <w:rPr>
          <w:rFonts w:ascii="Nirmala UI" w:hAnsi="Nirmala UI" w:cs="Nirmala UI"/>
          <w:w w:val="110"/>
          <w:sz w:val="20"/>
        </w:rPr>
        <w:t>Bagi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sokongan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memangku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substantif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,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sokongan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hendaklah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dihadapkan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Jabatan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Perkhidmatan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Awam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b/>
          <w:w w:val="110"/>
          <w:sz w:val="20"/>
          <w:u w:val="single"/>
        </w:rPr>
        <w:t>sebulan</w:t>
      </w:r>
      <w:proofErr w:type="spellEnd"/>
      <w:r w:rsidRPr="007D5688">
        <w:rPr>
          <w:rFonts w:ascii="Nirmala UI" w:hAnsi="Nirmala UI" w:cs="Nirmala UI"/>
          <w:b/>
          <w:w w:val="110"/>
          <w:sz w:val="20"/>
          <w:u w:val="single"/>
        </w:rPr>
        <w:t xml:space="preserve"> </w:t>
      </w:r>
      <w:proofErr w:type="spellStart"/>
      <w:r w:rsidRPr="007D5688">
        <w:rPr>
          <w:rFonts w:ascii="Nirmala UI" w:hAnsi="Nirmala UI" w:cs="Nirmala UI"/>
          <w:b/>
          <w:w w:val="110"/>
          <w:sz w:val="20"/>
          <w:u w:val="single"/>
        </w:rPr>
        <w:t>sebelum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tempoh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memangku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sementara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tamat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.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Kebenaran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memangku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substantif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adalah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tertakluk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ketetapan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Suruhanjaya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Perkhidmatan</w:t>
      </w:r>
      <w:proofErr w:type="spellEnd"/>
      <w:r w:rsidRPr="007D5688">
        <w:rPr>
          <w:rFonts w:ascii="Nirmala UI" w:hAnsi="Nirmala UI" w:cs="Nirmala UI"/>
          <w:w w:val="110"/>
          <w:sz w:val="20"/>
        </w:rPr>
        <w:t xml:space="preserve"> </w:t>
      </w:r>
      <w:proofErr w:type="spellStart"/>
      <w:r w:rsidRPr="007D5688">
        <w:rPr>
          <w:rFonts w:ascii="Nirmala UI" w:hAnsi="Nirmala UI" w:cs="Nirmala UI"/>
          <w:w w:val="110"/>
          <w:sz w:val="20"/>
        </w:rPr>
        <w:t>Awam</w:t>
      </w:r>
      <w:proofErr w:type="spellEnd"/>
      <w:r w:rsidRPr="007D5688">
        <w:rPr>
          <w:rFonts w:ascii="Nirmala UI" w:hAnsi="Nirmala UI" w:cs="Nirmala UI"/>
          <w:w w:val="110"/>
          <w:sz w:val="20"/>
        </w:rPr>
        <w:t>.</w:t>
      </w:r>
    </w:p>
    <w:p w:rsidR="009C714F" w:rsidRPr="007D5688" w:rsidRDefault="009C714F" w:rsidP="009C714F">
      <w:pPr>
        <w:rPr>
          <w:rFonts w:ascii="Nirmala UI" w:hAnsi="Nirmala UI" w:cs="Nirmala UI"/>
          <w:sz w:val="6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401"/>
        <w:gridCol w:w="2007"/>
        <w:gridCol w:w="2139"/>
        <w:gridCol w:w="1446"/>
      </w:tblGrid>
      <w:tr w:rsidR="009C714F" w:rsidRPr="007D5688" w:rsidTr="009C714F">
        <w:trPr>
          <w:trHeight w:val="551"/>
        </w:trPr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Perancangan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bagi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pengisian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jawatan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kosong</w:t>
            </w:r>
            <w:proofErr w:type="spellEnd"/>
          </w:p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Sila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tandakan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(</w:t>
            </w:r>
            <w:r w:rsidRPr="007D5688">
              <w:rPr>
                <w:rFonts w:ascii="Nirmala UI" w:hAnsi="Nirmala UI" w:cs="Nirmala UI"/>
                <w:szCs w:val="20"/>
              </w:rPr>
              <w:sym w:font="Webdings" w:char="F061"/>
            </w:r>
            <w:r w:rsidRPr="007D5688">
              <w:rPr>
                <w:rFonts w:ascii="Nirmala UI" w:hAnsi="Nirmala UI" w:cs="Nirmala UI"/>
                <w:szCs w:val="20"/>
              </w:rPr>
              <w:t xml:space="preserve">) yang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berkenaan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>.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jc w:val="center"/>
              <w:rPr>
                <w:rFonts w:ascii="Nirmala UI" w:hAnsi="Nirmala UI" w:cs="Nirmala UI"/>
                <w:b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Pengiklanan</w:t>
            </w:r>
            <w:proofErr w:type="spellEnd"/>
          </w:p>
        </w:tc>
        <w:tc>
          <w:tcPr>
            <w:tcW w:w="21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Tarikh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pengiklanan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c>
          <w:tcPr>
            <w:tcW w:w="37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jc w:val="center"/>
              <w:rPr>
                <w:rFonts w:ascii="Nirmala UI" w:hAnsi="Nirmala UI" w:cs="Nirmala UI"/>
                <w:b/>
                <w:szCs w:val="20"/>
              </w:rPr>
            </w:pPr>
          </w:p>
        </w:tc>
        <w:tc>
          <w:tcPr>
            <w:tcW w:w="5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jc w:val="both"/>
              <w:rPr>
                <w:rFonts w:ascii="Nirmala UI" w:hAnsi="Nirmala UI" w:cs="Nirmala UI"/>
                <w:strike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Sokongan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Kenaikan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Pangkat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Pegawai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Dalaman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 </w:t>
            </w:r>
          </w:p>
        </w:tc>
      </w:tr>
      <w:tr w:rsidR="009C714F" w:rsidRPr="007D5688" w:rsidTr="009C714F">
        <w:trPr>
          <w:trHeight w:val="331"/>
        </w:trPr>
        <w:tc>
          <w:tcPr>
            <w:tcW w:w="97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9C714F">
            <w:pPr>
              <w:pStyle w:val="ListParagraph"/>
              <w:numPr>
                <w:ilvl w:val="0"/>
                <w:numId w:val="1"/>
              </w:numPr>
              <w:ind w:left="427" w:hanging="427"/>
              <w:rPr>
                <w:rFonts w:ascii="Nirmala UI" w:hAnsi="Nirmala UI" w:cs="Nirmala UI"/>
                <w:b/>
                <w:szCs w:val="20"/>
              </w:rPr>
            </w:pPr>
            <w:r w:rsidRPr="007D5688">
              <w:rPr>
                <w:rFonts w:ascii="Nirmala UI" w:hAnsi="Nirmala UI" w:cs="Nirmala UI"/>
                <w:b/>
                <w:szCs w:val="20"/>
              </w:rPr>
              <w:t>MAKLUMAT PEGAWAI YANG DISOKONG</w:t>
            </w: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Pegawai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yang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memangku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Jawatan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sekarang</w:t>
            </w:r>
            <w:proofErr w:type="spellEnd"/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Tanggagaji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sekarang</w:t>
            </w:r>
            <w:proofErr w:type="spellEnd"/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Tarikh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lantikan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jawatan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sekarang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Tarikh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lantikan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pertama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399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Tarikh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bersara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59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</w:tr>
      <w:tr w:rsidR="009C714F" w:rsidRPr="007D5688" w:rsidTr="009C714F">
        <w:trPr>
          <w:trHeight w:val="415"/>
        </w:trPr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9C714F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Tapisan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keselamatan</w:t>
            </w:r>
            <w:proofErr w:type="spellEnd"/>
          </w:p>
          <w:p w:rsidR="009C714F" w:rsidRPr="007D5688" w:rsidRDefault="009C714F" w:rsidP="009C714F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Sila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tanda</w:t>
            </w:r>
            <w:proofErr w:type="spellEnd"/>
            <w:proofErr w:type="gramStart"/>
            <w:r w:rsidRPr="007D5688">
              <w:rPr>
                <w:rFonts w:ascii="Nirmala UI" w:hAnsi="Nirmala UI" w:cs="Nirmala UI"/>
                <w:szCs w:val="20"/>
              </w:rPr>
              <w:t xml:space="preserve">   (</w:t>
            </w:r>
            <w:proofErr w:type="gram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r w:rsidRPr="007D5688">
              <w:rPr>
                <w:rFonts w:ascii="Arial" w:hAnsi="Arial" w:cs="Arial"/>
                <w:szCs w:val="20"/>
              </w:rPr>
              <w:t>√</w:t>
            </w:r>
            <w:r w:rsidRPr="007D5688">
              <w:rPr>
                <w:rFonts w:ascii="Nirmala UI" w:hAnsi="Nirmala UI" w:cs="Nirmala UI"/>
                <w:szCs w:val="20"/>
              </w:rPr>
              <w:t xml:space="preserve"> )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jika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bersih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>.</w:t>
            </w:r>
          </w:p>
          <w:p w:rsidR="009C714F" w:rsidRPr="007D5688" w:rsidRDefault="009C714F" w:rsidP="009C714F">
            <w:pPr>
              <w:rPr>
                <w:rFonts w:ascii="Nirmala UI" w:hAnsi="Nirmala UI" w:cs="Nirmala UI"/>
                <w:szCs w:val="20"/>
                <w:u w:val="single"/>
              </w:rPr>
            </w:pPr>
            <w:r w:rsidRPr="007D5688">
              <w:rPr>
                <w:rFonts w:ascii="Nirmala UI" w:hAnsi="Nirmala UI" w:cs="Nirmala UI"/>
                <w:szCs w:val="20"/>
                <w:u w:val="single"/>
              </w:rPr>
              <w:t>Nota:</w:t>
            </w:r>
          </w:p>
          <w:p w:rsidR="009C714F" w:rsidRPr="007D5688" w:rsidRDefault="009C714F" w:rsidP="009C714F">
            <w:pPr>
              <w:rPr>
                <w:rFonts w:ascii="Nirmala UI" w:hAnsi="Nirmala UI" w:cs="Nirmala UI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szCs w:val="20"/>
              </w:rPr>
              <w:t>Jika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terlibat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dalam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isu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Audit,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Kementerian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/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Jabatan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hendaklah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menyelesaikannya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sebelum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disokong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memangku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szCs w:val="20"/>
              </w:rPr>
              <w:t>substantif</w:t>
            </w:r>
            <w:proofErr w:type="spellEnd"/>
            <w:r w:rsidRPr="007D5688">
              <w:rPr>
                <w:rFonts w:ascii="Nirmala UI" w:hAnsi="Nirmala UI" w:cs="Nirmala UI"/>
                <w:szCs w:val="20"/>
              </w:rPr>
              <w:t>.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pStyle w:val="ListParagraph"/>
              <w:spacing w:line="276" w:lineRule="auto"/>
              <w:ind w:left="0"/>
              <w:rPr>
                <w:rFonts w:ascii="Nirmala UI" w:hAnsi="Nirmala UI" w:cs="Nirmala UI"/>
                <w:w w:val="110"/>
                <w:szCs w:val="20"/>
              </w:rPr>
            </w:pPr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Biro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Mencegah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Rasuah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rPr>
          <w:trHeight w:val="415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pStyle w:val="ListParagraph"/>
              <w:spacing w:line="276" w:lineRule="auto"/>
              <w:ind w:left="0"/>
              <w:rPr>
                <w:rFonts w:ascii="Nirmala UI" w:hAnsi="Nirmala UI" w:cs="Nirmala UI"/>
                <w:w w:val="110"/>
                <w:szCs w:val="20"/>
              </w:rPr>
            </w:pPr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Biro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Kawalan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Narkotik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rPr>
          <w:trHeight w:val="415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pStyle w:val="ListParagraph"/>
              <w:spacing w:line="276" w:lineRule="auto"/>
              <w:ind w:left="0"/>
              <w:rPr>
                <w:rFonts w:ascii="Nirmala UI" w:hAnsi="Nirmala UI" w:cs="Nirmala UI"/>
                <w:w w:val="110"/>
                <w:szCs w:val="20"/>
              </w:rPr>
            </w:pPr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Polis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Diraja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Brunei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rPr>
          <w:trHeight w:val="415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pStyle w:val="ListParagraph"/>
              <w:spacing w:line="276" w:lineRule="auto"/>
              <w:ind w:left="0"/>
              <w:rPr>
                <w:rFonts w:ascii="Nirmala UI" w:hAnsi="Nirmala UI" w:cs="Nirmala UI"/>
                <w:w w:val="110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Jabatan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Keselamatan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Dalam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Negeri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rPr>
          <w:trHeight w:val="415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pStyle w:val="ListParagraph"/>
              <w:spacing w:line="276" w:lineRule="auto"/>
              <w:ind w:left="0"/>
              <w:rPr>
                <w:rFonts w:ascii="Nirmala UI" w:hAnsi="Nirmala UI" w:cs="Nirmala UI"/>
                <w:w w:val="110"/>
                <w:szCs w:val="20"/>
              </w:rPr>
            </w:pPr>
            <w:proofErr w:type="spellStart"/>
            <w:r w:rsidRPr="007D5688">
              <w:rPr>
                <w:rFonts w:ascii="Nirmala UI" w:hAnsi="Nirmala UI" w:cs="Nirmala UI"/>
                <w:w w:val="110"/>
                <w:szCs w:val="20"/>
              </w:rPr>
              <w:t>Jabatan</w:t>
            </w:r>
            <w:proofErr w:type="spellEnd"/>
            <w:r w:rsidRPr="007D5688">
              <w:rPr>
                <w:rFonts w:ascii="Nirmala UI" w:hAnsi="Nirmala UI" w:cs="Nirmala UI"/>
                <w:w w:val="110"/>
                <w:szCs w:val="20"/>
              </w:rPr>
              <w:t xml:space="preserve"> Audit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C714F" w:rsidRPr="007D5688" w:rsidTr="009C714F">
        <w:trPr>
          <w:trHeight w:val="592"/>
        </w:trPr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Cs w:val="20"/>
              </w:rPr>
            </w:pPr>
            <w:proofErr w:type="spellStart"/>
            <w:r>
              <w:rPr>
                <w:rFonts w:ascii="Nirmala UI" w:hAnsi="Nirmala UI" w:cs="Nirmala UI"/>
                <w:w w:val="110"/>
                <w:szCs w:val="20"/>
              </w:rPr>
              <w:t>Setiausaha</w:t>
            </w:r>
            <w:proofErr w:type="spellEnd"/>
            <w:r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w w:val="110"/>
                <w:szCs w:val="20"/>
              </w:rPr>
              <w:t>Tetap</w:t>
            </w:r>
            <w:proofErr w:type="spellEnd"/>
            <w:r>
              <w:rPr>
                <w:rFonts w:ascii="Nirmala UI" w:hAnsi="Nirmala UI" w:cs="Nirmala UI"/>
                <w:w w:val="110"/>
                <w:szCs w:val="20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  <w:w w:val="110"/>
                <w:szCs w:val="20"/>
              </w:rPr>
              <w:t>Kementerian</w:t>
            </w:r>
            <w:proofErr w:type="spellEnd"/>
            <w:r>
              <w:rPr>
                <w:rFonts w:ascii="Nirmala UI" w:hAnsi="Nirmala UI" w:cs="Nirmala UI"/>
                <w:w w:val="110"/>
                <w:szCs w:val="20"/>
              </w:rPr>
              <w:t xml:space="preserve"> Hal </w:t>
            </w:r>
            <w:proofErr w:type="spellStart"/>
            <w:r>
              <w:rPr>
                <w:rFonts w:ascii="Nirmala UI" w:hAnsi="Nirmala UI" w:cs="Nirmala UI"/>
                <w:w w:val="110"/>
                <w:szCs w:val="20"/>
              </w:rPr>
              <w:t>Ehwal</w:t>
            </w:r>
            <w:proofErr w:type="spellEnd"/>
            <w:r>
              <w:rPr>
                <w:rFonts w:ascii="Nirmala UI" w:hAnsi="Nirmala UI" w:cs="Nirmala UI"/>
                <w:w w:val="110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w w:val="110"/>
                <w:szCs w:val="20"/>
              </w:rPr>
              <w:t>Ugama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7D5688" w:rsidRDefault="009C714F" w:rsidP="00FF2054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:rsidR="009C714F" w:rsidRDefault="009C714F" w:rsidP="009C714F">
      <w:pPr>
        <w:jc w:val="both"/>
        <w:rPr>
          <w:rFonts w:ascii="Nirmala UI" w:hAnsi="Nirmala UI" w:cs="Nirmala UI"/>
        </w:rPr>
      </w:pPr>
    </w:p>
    <w:tbl>
      <w:tblPr>
        <w:tblpPr w:leftFromText="180" w:rightFromText="180" w:vertAnchor="text" w:tblpXSpec="center" w:tblpY="-374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938"/>
        <w:gridCol w:w="555"/>
        <w:gridCol w:w="88"/>
        <w:gridCol w:w="296"/>
        <w:gridCol w:w="786"/>
        <w:gridCol w:w="153"/>
        <w:gridCol w:w="939"/>
        <w:gridCol w:w="469"/>
        <w:gridCol w:w="470"/>
        <w:gridCol w:w="939"/>
      </w:tblGrid>
      <w:tr w:rsidR="009C714F" w:rsidRPr="009C714F" w:rsidTr="009C714F">
        <w:trPr>
          <w:trHeight w:val="399"/>
          <w:jc w:val="center"/>
        </w:trPr>
        <w:tc>
          <w:tcPr>
            <w:tcW w:w="935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b/>
                <w:lang w:val="en-SG"/>
              </w:rPr>
            </w:pPr>
            <w:r w:rsidRPr="009C714F">
              <w:rPr>
                <w:rFonts w:ascii="Nirmala UI" w:hAnsi="Nirmala UI" w:cs="Nirmala UI"/>
                <w:b/>
                <w:lang w:val="en-SG"/>
              </w:rPr>
              <w:lastRenderedPageBreak/>
              <w:t xml:space="preserve">SENARAI SEMAK PEGAWAI DISOKONG MEMANGKU </w:t>
            </w:r>
          </w:p>
        </w:tc>
      </w:tr>
      <w:tr w:rsidR="009C714F" w:rsidRPr="009C714F" w:rsidTr="00F8585F">
        <w:trPr>
          <w:trHeight w:val="36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 xml:space="preserve">Lulus 2 </w:t>
            </w:r>
            <w:proofErr w:type="spellStart"/>
            <w:r w:rsidRPr="009C714F">
              <w:rPr>
                <w:rFonts w:ascii="Nirmala UI" w:hAnsi="Nirmala UI" w:cs="Nirmala UI"/>
              </w:rPr>
              <w:t>Kertas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Kerja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Projek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(</w:t>
            </w:r>
            <w:proofErr w:type="spellStart"/>
            <w:r w:rsidRPr="009C714F">
              <w:rPr>
                <w:rFonts w:ascii="Nirmala UI" w:hAnsi="Nirmala UI" w:cs="Nirmala UI"/>
              </w:rPr>
              <w:t>Dinyatakan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lulus) 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lulus</w:t>
            </w: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F8585F">
        <w:trPr>
          <w:trHeight w:val="36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Markah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CEP (16 </w:t>
            </w:r>
            <w:proofErr w:type="spellStart"/>
            <w:r w:rsidRPr="009C714F">
              <w:rPr>
                <w:rFonts w:ascii="Nirmala UI" w:hAnsi="Nirmala UI" w:cs="Nirmala UI"/>
              </w:rPr>
              <w:t>keatas</w:t>
            </w:r>
            <w:proofErr w:type="spellEnd"/>
            <w:r w:rsidRPr="009C714F">
              <w:rPr>
                <w:rFonts w:ascii="Nirmala UI" w:hAnsi="Nirmala UI" w:cs="Nirmala UI"/>
              </w:rPr>
              <w:t>)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Markah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dinilai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36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Penilaian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Prestasi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(</w:t>
            </w:r>
            <w:proofErr w:type="spellStart"/>
            <w:r w:rsidRPr="009C714F">
              <w:rPr>
                <w:rFonts w:ascii="Nirmala UI" w:hAnsi="Nirmala UI" w:cs="Nirmala UI"/>
              </w:rPr>
              <w:t>sekurang-kurangnya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ditahap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SANGAT BAIK 3 </w:t>
            </w:r>
            <w:proofErr w:type="spellStart"/>
            <w:r w:rsidRPr="009C714F">
              <w:rPr>
                <w:rFonts w:ascii="Nirmala UI" w:hAnsi="Nirmala UI" w:cs="Nirmala UI"/>
              </w:rPr>
              <w:t>tahun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kebelakangan</w:t>
            </w:r>
            <w:proofErr w:type="spellEnd"/>
            <w:r w:rsidRPr="009C714F">
              <w:rPr>
                <w:rFonts w:ascii="Nirmala UI" w:hAnsi="Nirmala UI" w:cs="Nirmala UI"/>
              </w:rPr>
              <w:t>)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>2018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>2017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>2016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F8585F">
        <w:trPr>
          <w:trHeight w:val="901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 xml:space="preserve">Program Pembangunan </w:t>
            </w:r>
            <w:proofErr w:type="spellStart"/>
            <w:r w:rsidRPr="009C714F">
              <w:rPr>
                <w:rFonts w:ascii="Nirmala UI" w:hAnsi="Nirmala UI" w:cs="Nirmala UI"/>
              </w:rPr>
              <w:t>Eksekutif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EDPMMO / EDPSGO (</w:t>
            </w:r>
            <w:proofErr w:type="spellStart"/>
            <w:r w:rsidRPr="009C714F">
              <w:rPr>
                <w:rFonts w:ascii="Nirmala UI" w:hAnsi="Nirmala UI" w:cs="Nirmala UI"/>
              </w:rPr>
              <w:t>Jika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telah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menghadiri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) 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Tahun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mengikuti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EDPMMO</w:t>
            </w: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Tahun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mengikuti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EDPSGO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421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numPr>
                <w:ilvl w:val="0"/>
                <w:numId w:val="1"/>
              </w:numPr>
              <w:jc w:val="both"/>
              <w:rPr>
                <w:rFonts w:ascii="Nirmala UI" w:hAnsi="Nirmala UI" w:cs="Nirmala UI"/>
                <w:lang w:val="en-SG"/>
              </w:rPr>
            </w:pPr>
            <w:r w:rsidRPr="009C714F">
              <w:rPr>
                <w:rFonts w:ascii="Nirmala UI" w:hAnsi="Nirmala UI" w:cs="Nirmala UI"/>
                <w:b/>
                <w:lang w:val="en-SG"/>
              </w:rPr>
              <w:t>TEMPOH MEMANGKU</w:t>
            </w: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mula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memangku</w:t>
            </w:r>
            <w:proofErr w:type="spellEnd"/>
          </w:p>
        </w:tc>
        <w:tc>
          <w:tcPr>
            <w:tcW w:w="29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memangku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berakhir</w:t>
            </w:r>
            <w:proofErr w:type="spellEnd"/>
          </w:p>
        </w:tc>
      </w:tr>
      <w:tr w:rsidR="009C714F" w:rsidRPr="009C714F" w:rsidTr="009C714F">
        <w:trPr>
          <w:trHeight w:val="39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 xml:space="preserve">3 </w:t>
            </w:r>
            <w:proofErr w:type="spellStart"/>
            <w:r w:rsidRPr="009C714F">
              <w:rPr>
                <w:rFonts w:ascii="Nirmala UI" w:hAnsi="Nirmala UI" w:cs="Nirmala UI"/>
              </w:rPr>
              <w:t>bulan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pertama</w:t>
            </w:r>
            <w:proofErr w:type="spellEnd"/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39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</w:rPr>
              <w:t xml:space="preserve">3 </w:t>
            </w:r>
            <w:proofErr w:type="spellStart"/>
            <w:r w:rsidRPr="009C714F">
              <w:rPr>
                <w:rFonts w:ascii="Nirmala UI" w:hAnsi="Nirmala UI" w:cs="Nirmala UI"/>
              </w:rPr>
              <w:t>bulan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kedua</w:t>
            </w:r>
            <w:proofErr w:type="spellEnd"/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39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Elaun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memangku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dibayar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mengikut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r w:rsidRPr="009C714F">
              <w:rPr>
                <w:rFonts w:ascii="Nirmala UI" w:hAnsi="Nirmala UI" w:cs="Nirmala UI"/>
                <w:b/>
              </w:rPr>
              <w:t xml:space="preserve">Para 4.2 </w:t>
            </w:r>
            <w:r w:rsidRPr="009C714F">
              <w:rPr>
                <w:rFonts w:ascii="Nirmala UI" w:hAnsi="Nirmala UI" w:cs="Nirmala UI"/>
              </w:rPr>
              <w:t xml:space="preserve">Surat </w:t>
            </w:r>
            <w:proofErr w:type="spellStart"/>
            <w:r w:rsidRPr="009C714F">
              <w:rPr>
                <w:rFonts w:ascii="Nirmala UI" w:hAnsi="Nirmala UI" w:cs="Nirmala UI"/>
              </w:rPr>
              <w:t>Keliling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JPM </w:t>
            </w:r>
            <w:proofErr w:type="spellStart"/>
            <w:r w:rsidRPr="009C714F">
              <w:rPr>
                <w:rFonts w:ascii="Nirmala UI" w:hAnsi="Nirmala UI" w:cs="Nirmala UI"/>
              </w:rPr>
              <w:t>bil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. 4/2008 </w:t>
            </w: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proofErr w:type="spellStart"/>
            <w:r w:rsidRPr="009C714F">
              <w:rPr>
                <w:rFonts w:ascii="Nirmala UI" w:hAnsi="Nirmala UI" w:cs="Nirmala UI"/>
              </w:rPr>
              <w:t>Sila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</w:rPr>
              <w:t>tanda</w:t>
            </w:r>
            <w:proofErr w:type="spellEnd"/>
            <w:r w:rsidRPr="009C714F">
              <w:rPr>
                <w:rFonts w:ascii="Nirmala UI" w:hAnsi="Nirmala UI" w:cs="Nirmala UI"/>
              </w:rPr>
              <w:t xml:space="preserve">   ( </w:t>
            </w:r>
            <w:r w:rsidRPr="009C714F">
              <w:rPr>
                <w:rFonts w:ascii="Arial" w:hAnsi="Arial" w:cs="Arial"/>
              </w:rPr>
              <w:t>√</w:t>
            </w:r>
            <w:r w:rsidRPr="009C714F">
              <w:rPr>
                <w:rFonts w:ascii="Nirmala UI" w:hAnsi="Nirmala UI" w:cs="Nirmala UI"/>
              </w:rPr>
              <w:t xml:space="preserve"> ).</w:t>
            </w:r>
          </w:p>
        </w:tc>
        <w:tc>
          <w:tcPr>
            <w:tcW w:w="56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397"/>
          <w:jc w:val="center"/>
        </w:trPr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r w:rsidRPr="009C714F">
              <w:rPr>
                <w:rFonts w:ascii="Nirmala UI" w:hAnsi="Nirmala UI" w:cs="Nirmala UI"/>
                <w:b/>
              </w:rPr>
              <w:t>SEBAB-SEBAB DIBENARKAN</w:t>
            </w:r>
          </w:p>
        </w:tc>
        <w:tc>
          <w:tcPr>
            <w:tcW w:w="56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</w:tr>
      <w:tr w:rsidR="009C714F" w:rsidRPr="009C714F" w:rsidTr="009C714F">
        <w:trPr>
          <w:trHeight w:val="397"/>
          <w:jc w:val="center"/>
        </w:trPr>
        <w:tc>
          <w:tcPr>
            <w:tcW w:w="5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  <w:b/>
              </w:rPr>
            </w:pPr>
            <w:proofErr w:type="spellStart"/>
            <w:r w:rsidRPr="009C714F">
              <w:rPr>
                <w:rFonts w:ascii="Nirmala UI" w:hAnsi="Nirmala UI" w:cs="Nirmala UI"/>
                <w:b/>
              </w:rPr>
              <w:t>Tandatangan</w:t>
            </w:r>
            <w:proofErr w:type="spellEnd"/>
            <w:r w:rsidRPr="009C714F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  <w:b/>
              </w:rPr>
              <w:t>Setiausaha</w:t>
            </w:r>
            <w:proofErr w:type="spellEnd"/>
            <w:r w:rsidRPr="009C714F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9C714F">
              <w:rPr>
                <w:rFonts w:ascii="Nirmala UI" w:hAnsi="Nirmala UI" w:cs="Nirmala UI"/>
                <w:b/>
              </w:rPr>
              <w:t>Tetap</w:t>
            </w:r>
            <w:proofErr w:type="spellEnd"/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  <w:b/>
              </w:rPr>
            </w:pPr>
            <w:proofErr w:type="spellStart"/>
            <w:r w:rsidRPr="009C714F">
              <w:rPr>
                <w:rFonts w:ascii="Nirmala UI" w:hAnsi="Nirmala UI" w:cs="Nirmala UI"/>
                <w:b/>
              </w:rPr>
              <w:t>Tarikh</w:t>
            </w:r>
            <w:proofErr w:type="spellEnd"/>
            <w:r w:rsidRPr="009C714F">
              <w:rPr>
                <w:rFonts w:ascii="Nirmala UI" w:hAnsi="Nirmala UI" w:cs="Nirmala UI"/>
                <w:b/>
              </w:rPr>
              <w:t>:</w:t>
            </w: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</w:tc>
        <w:tc>
          <w:tcPr>
            <w:tcW w:w="405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  <w:b/>
              </w:rPr>
            </w:pPr>
            <w:r w:rsidRPr="009C714F">
              <w:rPr>
                <w:rFonts w:ascii="Nirmala UI" w:hAnsi="Nirmala UI" w:cs="Nirmala UI"/>
                <w:b/>
              </w:rPr>
              <w:t xml:space="preserve">             </w:t>
            </w: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</w:p>
          <w:p w:rsidR="009C714F" w:rsidRPr="009C714F" w:rsidRDefault="009C714F" w:rsidP="009C714F">
            <w:pPr>
              <w:jc w:val="both"/>
              <w:rPr>
                <w:rFonts w:ascii="Nirmala UI" w:hAnsi="Nirmala UI" w:cs="Nirmala UI"/>
              </w:rPr>
            </w:pPr>
            <w:bookmarkStart w:id="0" w:name="_GoBack"/>
            <w:bookmarkEnd w:id="0"/>
          </w:p>
          <w:p w:rsidR="009C714F" w:rsidRPr="009C714F" w:rsidRDefault="00F8585F" w:rsidP="009C714F">
            <w:pPr>
              <w:jc w:val="both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</w:rPr>
              <w:t>C</w:t>
            </w:r>
            <w:r w:rsidR="009C714F" w:rsidRPr="009C714F">
              <w:rPr>
                <w:rFonts w:ascii="Nirmala UI" w:hAnsi="Nirmala UI" w:cs="Nirmala UI"/>
                <w:b/>
              </w:rPr>
              <w:t xml:space="preserve">op </w:t>
            </w:r>
            <w:proofErr w:type="spellStart"/>
            <w:r w:rsidR="009C714F" w:rsidRPr="009C714F">
              <w:rPr>
                <w:rFonts w:ascii="Nirmala UI" w:hAnsi="Nirmala UI" w:cs="Nirmala UI"/>
                <w:b/>
              </w:rPr>
              <w:t>Kementerian</w:t>
            </w:r>
            <w:proofErr w:type="spellEnd"/>
          </w:p>
        </w:tc>
      </w:tr>
    </w:tbl>
    <w:p w:rsidR="009C714F" w:rsidRPr="007D5688" w:rsidRDefault="009C714F" w:rsidP="009C714F">
      <w:pPr>
        <w:jc w:val="both"/>
        <w:rPr>
          <w:rFonts w:ascii="Nirmala UI" w:hAnsi="Nirmala UI" w:cs="Nirmala UI"/>
        </w:rPr>
      </w:pPr>
    </w:p>
    <w:p w:rsidR="00034450" w:rsidRPr="009C714F" w:rsidRDefault="009C714F" w:rsidP="009C714F">
      <w:pPr>
        <w:jc w:val="both"/>
        <w:rPr>
          <w:rFonts w:ascii="Nirmala UI" w:hAnsi="Nirmala UI" w:cs="Nirmala UI"/>
        </w:rPr>
      </w:pPr>
      <w:r w:rsidRPr="007D5688">
        <w:rPr>
          <w:rFonts w:ascii="Nirmala UI" w:hAnsi="Nirmala UI" w:cs="Nirmala UI"/>
        </w:rPr>
        <w:t xml:space="preserve">Salinan </w:t>
      </w:r>
      <w:proofErr w:type="spellStart"/>
      <w:r w:rsidRPr="007D5688">
        <w:rPr>
          <w:rFonts w:ascii="Nirmala UI" w:hAnsi="Nirmala UI" w:cs="Nirmala UI"/>
        </w:rPr>
        <w:t>kepada</w:t>
      </w:r>
      <w:proofErr w:type="spellEnd"/>
      <w:r w:rsidRPr="007D5688">
        <w:rPr>
          <w:rFonts w:ascii="Nirmala UI" w:hAnsi="Nirmala UI" w:cs="Nirmala UI"/>
        </w:rPr>
        <w:t xml:space="preserve">: </w:t>
      </w:r>
      <w:proofErr w:type="spellStart"/>
      <w:r w:rsidRPr="007D5688">
        <w:rPr>
          <w:rFonts w:ascii="Nirmala UI" w:hAnsi="Nirmala UI" w:cs="Nirmala UI"/>
        </w:rPr>
        <w:t>Ketua</w:t>
      </w:r>
      <w:proofErr w:type="spellEnd"/>
      <w:r w:rsidRPr="007D5688">
        <w:rPr>
          <w:rFonts w:ascii="Nirmala UI" w:hAnsi="Nirmala UI" w:cs="Nirmala UI"/>
        </w:rPr>
        <w:t xml:space="preserve"> </w:t>
      </w:r>
      <w:proofErr w:type="spellStart"/>
      <w:r w:rsidRPr="007D5688">
        <w:rPr>
          <w:rFonts w:ascii="Nirmala UI" w:hAnsi="Nirmala UI" w:cs="Nirmala UI"/>
        </w:rPr>
        <w:t>Pengarah</w:t>
      </w:r>
      <w:proofErr w:type="spellEnd"/>
      <w:r w:rsidRPr="007D5688">
        <w:rPr>
          <w:rFonts w:ascii="Nirmala UI" w:hAnsi="Nirmala UI" w:cs="Nirmala UI"/>
        </w:rPr>
        <w:t xml:space="preserve"> </w:t>
      </w:r>
      <w:proofErr w:type="spellStart"/>
      <w:r w:rsidRPr="007D5688">
        <w:rPr>
          <w:rFonts w:ascii="Nirmala UI" w:hAnsi="Nirmala UI" w:cs="Nirmala UI"/>
        </w:rPr>
        <w:t>Perkhidmatan</w:t>
      </w:r>
      <w:proofErr w:type="spellEnd"/>
      <w:r w:rsidRPr="007D5688">
        <w:rPr>
          <w:rFonts w:ascii="Nirmala UI" w:hAnsi="Nirmala UI" w:cs="Nirmala UI"/>
        </w:rPr>
        <w:t xml:space="preserve"> </w:t>
      </w:r>
      <w:proofErr w:type="spellStart"/>
      <w:r w:rsidRPr="007D5688">
        <w:rPr>
          <w:rFonts w:ascii="Nirmala UI" w:hAnsi="Nirmala UI" w:cs="Nirmala UI"/>
        </w:rPr>
        <w:t>Awam</w:t>
      </w:r>
      <w:proofErr w:type="spellEnd"/>
    </w:p>
    <w:sectPr w:rsidR="00034450" w:rsidRPr="009C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E57"/>
    <w:multiLevelType w:val="hybridMultilevel"/>
    <w:tmpl w:val="B05C3232"/>
    <w:lvl w:ilvl="0" w:tplc="F0ACC0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5220"/>
    <w:multiLevelType w:val="hybridMultilevel"/>
    <w:tmpl w:val="D58A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4F"/>
    <w:rsid w:val="00672B20"/>
    <w:rsid w:val="009C714F"/>
    <w:rsid w:val="00EF3E77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DC47"/>
  <w15:chartTrackingRefBased/>
  <w15:docId w15:val="{F3A5C0BD-9D4D-4F67-87E0-DA370052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4F"/>
    <w:pPr>
      <w:spacing w:after="0" w:line="240" w:lineRule="auto"/>
      <w:ind w:left="720"/>
      <w:contextualSpacing/>
    </w:pPr>
    <w:rPr>
      <w:rFonts w:eastAsiaTheme="minorEastAsia"/>
      <w:lang w:val="en-SG"/>
    </w:rPr>
  </w:style>
  <w:style w:type="paragraph" w:styleId="NoSpacing">
    <w:name w:val="No Spacing"/>
    <w:link w:val="NoSpacingChar"/>
    <w:uiPriority w:val="1"/>
    <w:qFormat/>
    <w:rsid w:val="009C71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71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3J4SFV6EVU2Y-2102554853-1009</_dlc_DocId>
    <_dlc_DocIdUrl xmlns="3eb395c1-c26a-485a-a474-2edaaa77b21c">
      <Url>https://www.jpa.gov.bn/_layouts/15/DocIdRedir.aspx?ID=3J4SFV6EVU2Y-2102554853-1009</Url>
      <Description>3J4SFV6EVU2Y-2102554853-1009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E10F78-0378-4014-8E98-5156601E7D22}"/>
</file>

<file path=customXml/itemProps2.xml><?xml version="1.0" encoding="utf-8"?>
<ds:datastoreItem xmlns:ds="http://schemas.openxmlformats.org/officeDocument/2006/customXml" ds:itemID="{390E233C-878C-434A-8DCB-34AB5765A170}"/>
</file>

<file path=customXml/itemProps3.xml><?xml version="1.0" encoding="utf-8"?>
<ds:datastoreItem xmlns:ds="http://schemas.openxmlformats.org/officeDocument/2006/customXml" ds:itemID="{7A62E50B-04E1-40BD-8F39-EFFCC438CC7B}"/>
</file>

<file path=customXml/itemProps4.xml><?xml version="1.0" encoding="utf-8"?>
<ds:datastoreItem xmlns:ds="http://schemas.openxmlformats.org/officeDocument/2006/customXml" ds:itemID="{682D94DB-4191-4D4F-A662-08E17DD20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Faadzilah Binti Hj Abdul Rahim</dc:creator>
  <cp:keywords/>
  <dc:description/>
  <cp:lastModifiedBy>Faadzilah Binti Hj Abdul Rahim</cp:lastModifiedBy>
  <cp:revision>2</cp:revision>
  <dcterms:created xsi:type="dcterms:W3CDTF">2019-06-25T02:13:00Z</dcterms:created>
  <dcterms:modified xsi:type="dcterms:W3CDTF">2019-06-25T23:40:00Z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313739c7-e345-495c-8d1d-7a5eb4d5e640</vt:lpwstr>
  </property>
</Properties>
</file>